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beforeAutospacing="0" w:afterAutospacing="0" w:line="560" w:lineRule="exact"/>
        <w:ind w:right="0" w:rightChars="0"/>
        <w:jc w:val="both"/>
        <w:textAlignment w:val="auto"/>
        <w:rPr>
          <w:b/>
          <w:bCs/>
          <w:color w:val="000000"/>
          <w:kern w:val="0"/>
          <w:szCs w:val="32"/>
        </w:rPr>
      </w:pPr>
      <w:r>
        <w:rPr>
          <w:rFonts w:hint="eastAsia" w:ascii="CESI楷体-GB2312" w:hAnsi="CESI楷体-GB2312" w:eastAsia="CESI楷体-GB2312" w:cs="CESI楷体-GB2312"/>
          <w:b w:val="0"/>
          <w:bCs w:val="0"/>
          <w:color w:val="000000"/>
          <w:kern w:val="0"/>
          <w:sz w:val="32"/>
          <w:szCs w:val="32"/>
          <w:lang w:val="en" w:eastAsia="zh-CN"/>
        </w:rPr>
        <w:t>附件</w:t>
      </w:r>
      <w:r>
        <w:rPr>
          <w:rFonts w:hint="eastAsia" w:ascii="CESI楷体-GB2312" w:hAnsi="CESI楷体-GB2312" w:eastAsia="CESI楷体-GB2312" w:cs="CESI楷体-GB2312"/>
          <w:b w:val="0"/>
          <w:bCs w:val="0"/>
          <w:color w:val="000000"/>
          <w:kern w:val="0"/>
          <w:sz w:val="32"/>
          <w:szCs w:val="32"/>
          <w:lang w:val="en-US" w:eastAsia="zh-CN"/>
        </w:rPr>
        <w:t xml:space="preserve">3 </w:t>
      </w: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right="0" w:rightChars="0"/>
        <w:jc w:val="center"/>
        <w:textAlignment w:val="auto"/>
        <w:rPr>
          <w:b/>
          <w:bCs/>
          <w:color w:val="000000"/>
          <w:kern w:val="0"/>
          <w:szCs w:val="32"/>
        </w:rPr>
      </w:pP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right="0" w:rightChars="0"/>
        <w:jc w:val="center"/>
        <w:textAlignment w:val="auto"/>
        <w:rPr>
          <w:bCs/>
          <w:color w:val="000000"/>
          <w:kern w:val="0"/>
          <w:szCs w:val="32"/>
        </w:rPr>
      </w:pPr>
      <w:r>
        <w:rPr>
          <w:b/>
          <w:bCs/>
          <w:color w:val="000000"/>
          <w:kern w:val="0"/>
          <w:szCs w:val="32"/>
        </w:rPr>
        <w:pict>
          <v:shape id="_x0000_i1025" o:spt="136" type="#_x0000_t136" style="height:72.75pt;width:381.65pt;" fillcolor="#FF0000" filled="t" stroked="f" coordsize="21600,21600">
            <v:path/>
            <v:fill on="t" focussize="0,0"/>
            <v:stroke on="f"/>
            <v:imagedata o:title=""/>
            <o:lock v:ext="edit"/>
            <v:textpath on="t" fitshape="t" fitpath="t" trim="t" xscale="f" string="中共浙江省纪委文件" style="font-family:方正小标宋简体;font-size:36pt;v-rotate-letters:f;v-same-letter-heights:f;v-text-align:center;v-text-spacing:78650f;"/>
            <w10:wrap type="none"/>
            <w10:anchorlock/>
          </v:shape>
        </w:pict>
      </w: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right="0" w:rightChars="0"/>
        <w:jc w:val="center"/>
        <w:textAlignment w:val="auto"/>
        <w:rPr>
          <w:bCs/>
          <w:color w:val="000000"/>
          <w:kern w:val="0"/>
          <w:szCs w:val="32"/>
        </w:rPr>
      </w:pP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right="0" w:rightChars="0"/>
        <w:jc w:val="center"/>
        <w:textAlignment w:val="auto"/>
        <w:rPr>
          <w:bCs/>
          <w:color w:val="000000"/>
          <w:kern w:val="0"/>
          <w:szCs w:val="32"/>
        </w:rPr>
      </w:pP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right="0" w:rightChars="0"/>
        <w:jc w:val="center"/>
        <w:textAlignment w:val="auto"/>
        <w:rPr>
          <w:rFonts w:hint="eastAsia" w:ascii="CESI楷体-GB2312" w:hAnsi="CESI楷体-GB2312" w:eastAsia="CESI楷体-GB2312" w:cs="CESI楷体-GB2312"/>
          <w:bCs/>
          <w:color w:val="000000"/>
          <w:kern w:val="0"/>
          <w:sz w:val="32"/>
          <w:szCs w:val="32"/>
        </w:rPr>
      </w:pPr>
      <w:r>
        <w:rPr>
          <w:rFonts w:hint="eastAsia" w:ascii="CESI楷体-GB2312" w:hAnsi="CESI楷体-GB2312" w:eastAsia="CESI楷体-GB2312" w:cs="CESI楷体-GB2312"/>
          <w:bCs/>
          <w:color w:val="000000"/>
          <w:kern w:val="0"/>
          <w:sz w:val="32"/>
          <w:szCs w:val="32"/>
        </w:rPr>
        <w:t>浙纪发</w:t>
      </w:r>
      <w:r>
        <w:rPr>
          <w:rFonts w:hint="eastAsia" w:ascii="CESI楷体-GB2312" w:hAnsi="CESI楷体-GB2312" w:eastAsia="CESI楷体-GB2312" w:cs="CESI楷体-GB2312"/>
          <w:sz w:val="32"/>
          <w:szCs w:val="32"/>
        </w:rPr>
        <w:t>〔2014〕</w:t>
      </w:r>
      <w:r>
        <w:rPr>
          <w:rFonts w:hint="eastAsia" w:ascii="CESI楷体-GB2312" w:hAnsi="CESI楷体-GB2312" w:eastAsia="CESI楷体-GB2312" w:cs="CESI楷体-GB2312"/>
          <w:bCs/>
          <w:color w:val="000000"/>
          <w:kern w:val="0"/>
          <w:sz w:val="32"/>
          <w:szCs w:val="32"/>
        </w:rPr>
        <w:t>5号</w:t>
      </w:r>
    </w:p>
    <w:p>
      <w:pPr>
        <w:keepNext w:val="0"/>
        <w:keepLines w:val="0"/>
        <w:pageBreakBefore w:val="0"/>
        <w:widowControl/>
        <w:kinsoku/>
        <w:wordWrap/>
        <w:overflowPunct/>
        <w:topLinePunct w:val="0"/>
        <w:autoSpaceDE/>
        <w:autoSpaceDN/>
        <w:bidi w:val="0"/>
        <w:adjustRightInd/>
        <w:snapToGrid/>
        <w:spacing w:beforeAutospacing="0" w:afterAutospacing="0" w:line="480" w:lineRule="auto"/>
        <w:ind w:right="0" w:rightChars="0"/>
        <w:jc w:val="center"/>
        <w:textAlignment w:val="auto"/>
        <w:rPr>
          <w:rFonts w:eastAsia="华文中宋"/>
          <w:b/>
          <w:bCs/>
          <w:color w:val="FF0000"/>
          <w:kern w:val="0"/>
          <w:sz w:val="44"/>
          <w:szCs w:val="44"/>
        </w:rPr>
      </w:pPr>
      <w:bookmarkStart w:id="0" w:name="_GoBack"/>
      <w:r>
        <w:rPr>
          <w:rFonts w:eastAsia="华文中宋"/>
          <w:b/>
          <w:bCs/>
          <w:color w:val="FF0000"/>
          <w:kern w:val="0"/>
          <w:sz w:val="120"/>
          <w:szCs w:val="120"/>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122555</wp:posOffset>
                </wp:positionV>
                <wp:extent cx="5610225" cy="0"/>
                <wp:effectExtent l="0" t="9525" r="9525" b="9525"/>
                <wp:wrapNone/>
                <wp:docPr id="2" name="直接连接符 1"/>
                <wp:cNvGraphicFramePr/>
                <a:graphic xmlns:a="http://schemas.openxmlformats.org/drawingml/2006/main">
                  <a:graphicData uri="http://schemas.microsoft.com/office/word/2010/wordprocessingShape">
                    <wps:wsp>
                      <wps:cNvCnPr/>
                      <wps:spPr>
                        <a:xfrm>
                          <a:off x="0" y="0"/>
                          <a:ext cx="5610225"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2.15pt;margin-top:9.65pt;height:0pt;width:441.75pt;z-index:251659264;mso-width-relative:page;mso-height-relative:page;" filled="f" stroked="t" coordsize="21600,21600" o:gfxdata="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QIpqjYAAAACAEAAA8AAAAAAAAAAQAgAAAAIgAAAGRycy9kb3ducmV2&#10;LnhtbFBLAQIUABQAAAAIAIdO4kDF/63s/AEAAPMDAAAOAAAAAAAAAAEAIAAAACcBAABkcnMvZTJv&#10;RG9jLnhtbFBLBQYAAAAABgAGAFkBAACVBQAAAAA=&#10;">
                <v:fill on="f" focussize="0,0"/>
                <v:stroke weight="1.5pt" color="#FF0000" joinstyle="round"/>
                <v:imagedata o:title=""/>
                <o:lock v:ext="edit" aspectratio="f"/>
              </v:line>
            </w:pict>
          </mc:Fallback>
        </mc:AlternateContent>
      </w:r>
      <w:bookmarkEnd w:id="0"/>
    </w:p>
    <w:p>
      <w:pPr>
        <w:keepNext w:val="0"/>
        <w:keepLines w:val="0"/>
        <w:pageBreakBefore w:val="0"/>
        <w:kinsoku/>
        <w:wordWrap/>
        <w:overflowPunct/>
        <w:topLinePunct w:val="0"/>
        <w:autoSpaceDE/>
        <w:autoSpaceDN/>
        <w:bidi w:val="0"/>
        <w:adjustRightInd/>
        <w:snapToGrid w:val="0"/>
        <w:spacing w:beforeAutospacing="0" w:afterAutospacing="0"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中共浙江省纪委关于进一步严明纪律</w:t>
      </w:r>
    </w:p>
    <w:p>
      <w:pPr>
        <w:keepNext w:val="0"/>
        <w:keepLines w:val="0"/>
        <w:pageBreakBefore w:val="0"/>
        <w:kinsoku/>
        <w:wordWrap/>
        <w:overflowPunct/>
        <w:topLinePunct w:val="0"/>
        <w:autoSpaceDE/>
        <w:autoSpaceDN/>
        <w:bidi w:val="0"/>
        <w:adjustRightInd/>
        <w:snapToGrid w:val="0"/>
        <w:spacing w:beforeAutospacing="0" w:afterAutospacing="0"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切实解决“酒局”、“牌局”等问题的通知</w:t>
      </w:r>
    </w:p>
    <w:p>
      <w:pPr>
        <w:keepNext w:val="0"/>
        <w:keepLines w:val="0"/>
        <w:pageBreakBefore w:val="0"/>
        <w:kinsoku/>
        <w:wordWrap/>
        <w:overflowPunct/>
        <w:topLinePunct w:val="0"/>
        <w:autoSpaceDE/>
        <w:autoSpaceDN/>
        <w:bidi w:val="0"/>
        <w:adjustRightInd/>
        <w:spacing w:beforeAutospacing="0" w:afterAutospacing="0" w:line="560" w:lineRule="exact"/>
        <w:ind w:right="0" w:rightChars="0"/>
        <w:textAlignment w:val="auto"/>
        <w:rPr>
          <w:szCs w:val="32"/>
        </w:rPr>
      </w:pPr>
    </w:p>
    <w:p>
      <w:pPr>
        <w:keepNext w:val="0"/>
        <w:keepLines w:val="0"/>
        <w:pageBreakBefore w:val="0"/>
        <w:kinsoku/>
        <w:wordWrap/>
        <w:overflowPunct/>
        <w:topLinePunct w:val="0"/>
        <w:autoSpaceDE/>
        <w:autoSpaceDN/>
        <w:bidi w:val="0"/>
        <w:adjustRightInd/>
        <w:snapToGrid w:val="0"/>
        <w:spacing w:beforeAutospacing="0" w:afterAutospacing="0" w:line="560" w:lineRule="exact"/>
        <w:ind w:right="0" w:rightChars="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各市、县（市、区）党委、纪委，省直各单位党委（党组）、纪委（纪工委、纪检组）：</w:t>
      </w:r>
    </w:p>
    <w:p>
      <w:pPr>
        <w:keepNext w:val="0"/>
        <w:keepLines w:val="0"/>
        <w:pageBreakBefore w:val="0"/>
        <w:kinsoku/>
        <w:wordWrap/>
        <w:overflowPunct/>
        <w:topLinePunct w:val="0"/>
        <w:autoSpaceDE/>
        <w:autoSpaceDN/>
        <w:bidi w:val="0"/>
        <w:adjustRightInd/>
        <w:snapToGrid w:val="0"/>
        <w:spacing w:beforeAutospacing="0" w:afterAutospacing="0" w:line="560" w:lineRule="exact"/>
        <w:ind w:right="0" w:rightChars="0" w:firstLine="645"/>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省委提出严肃整治“酒局”、“牌局”等问题以来，全省各地各单位和广大党员干部认真贯彻落实，执行情况是好的，但仍有少数单位和干部有令不行、有禁不止，变着法子组织和参与“酒局”、“牌局”。如有的在单位食堂、内部招待所、农家乐等场所搞变相的大吃大喝，有的以干部调整、岗位变动等名义用公款聚餐，有的用会议费、印刷费、办公用品等发票冲抵公务接待费用等等，在社会上造成不良影响。为进一步巩固中央八项规定精神贯彻落实成果，切实防止“酒局”、“牌局”等问题的反弹、回潮，现重申和提出以下要求：</w:t>
      </w:r>
    </w:p>
    <w:p>
      <w:pPr>
        <w:keepNext w:val="0"/>
        <w:keepLines w:val="0"/>
        <w:pageBreakBefore w:val="0"/>
        <w:kinsoku/>
        <w:wordWrap/>
        <w:overflowPunct/>
        <w:topLinePunct w:val="0"/>
        <w:autoSpaceDE/>
        <w:autoSpaceDN/>
        <w:bidi w:val="0"/>
        <w:adjustRightInd/>
        <w:snapToGrid w:val="0"/>
        <w:spacing w:beforeAutospacing="0" w:afterAutospacing="0" w:line="560" w:lineRule="exact"/>
        <w:ind w:right="0" w:rightChars="0" w:firstLine="645"/>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一、全省各地各单位和广大党员干部要严格按照中央八项规定精神、省委“28条办法”和“六个严禁”等有关要求，在公务活动中严禁组织或参与 “酒局”、“牌局”，切实做到省内公务活动一律不准提供各类烟酒；同城一律不准安排公务用餐；下基层工作时一律不准接受宴请和夜宵；一律不准借干部调整、岗位变动等名义用公款安排宴请和聚餐；一律不准使用私人和企业会所、高消费餐饮场所，或者在单位食堂、内部招待所、农家乐等场所搞变相的公款大吃大喝；一律不准参与带有赌博性质的活动；上班时间、工作日午休和公务出差期间一律不准参与打牌、打麻将等活动。</w:t>
      </w:r>
    </w:p>
    <w:p>
      <w:pPr>
        <w:keepNext w:val="0"/>
        <w:keepLines w:val="0"/>
        <w:pageBreakBefore w:val="0"/>
        <w:kinsoku/>
        <w:wordWrap/>
        <w:overflowPunct/>
        <w:topLinePunct w:val="0"/>
        <w:autoSpaceDE/>
        <w:autoSpaceDN/>
        <w:bidi w:val="0"/>
        <w:adjustRightInd/>
        <w:snapToGrid w:val="0"/>
        <w:spacing w:beforeAutospacing="0" w:afterAutospacing="0" w:line="560" w:lineRule="exact"/>
        <w:ind w:right="0" w:rightChars="0" w:firstLine="645"/>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全省各级党员领导干部要带头执行廉洁从政各项规定和作风建设有关要求，自觉远离“酒局”、“牌局”，把主要精力用在工作上，把业余时间用在学习上，努力减少不必要的应酬和交往活动。要厉行勤俭节约，带头移风易俗，领导干部不得组织由本人支付费用，有同事、下属以及管理和服务对象参加的聚众酗酒，参加其他私人聚会（休闲娱乐活动）和自费餐叙也应注意形象，不能失态，不劝酒、不醉酒、不酗酒，更不得酒后驾车、酒后滋事。参加休闲娱乐活动要区分场合，把握分寸，不得出入私人会所、不得接受和持有私人会所会员卡，严禁进入营业性娱乐场所接受有偿陪侍服务。要自觉弘扬优良传统，践行新风正气，自觉接受群众的监督，树立良好形象，以优良党风带动民风社风。</w:t>
      </w:r>
    </w:p>
    <w:p>
      <w:pPr>
        <w:keepNext w:val="0"/>
        <w:keepLines w:val="0"/>
        <w:pageBreakBefore w:val="0"/>
        <w:widowControl/>
        <w:kinsoku/>
        <w:wordWrap/>
        <w:overflowPunct/>
        <w:topLinePunct w:val="0"/>
        <w:autoSpaceDE/>
        <w:autoSpaceDN/>
        <w:bidi w:val="0"/>
        <w:adjustRightInd/>
        <w:spacing w:beforeAutospacing="0" w:afterAutospacing="0" w:line="560" w:lineRule="exact"/>
        <w:ind w:right="0" w:rightChars="0"/>
        <w:jc w:val="left"/>
        <w:textAlignment w:val="auto"/>
        <w:rPr>
          <w:rFonts w:hint="eastAsia" w:ascii="CESI仿宋-GB2312" w:hAnsi="CESI仿宋-GB2312" w:eastAsia="CESI仿宋-GB2312" w:cs="CESI仿宋-GB2312"/>
          <w:color w:val="000000"/>
          <w:kern w:val="0"/>
          <w:sz w:val="32"/>
          <w:szCs w:val="32"/>
        </w:rPr>
      </w:pPr>
      <w:r>
        <w:rPr>
          <w:rFonts w:hint="eastAsia" w:ascii="CESI仿宋-GB2312" w:hAnsi="CESI仿宋-GB2312" w:eastAsia="CESI仿宋-GB2312" w:cs="CESI仿宋-GB2312"/>
          <w:sz w:val="32"/>
          <w:szCs w:val="32"/>
        </w:rPr>
        <w:t xml:space="preserve">    三、各级党委（党组）要充分认识整治“酒局”、“牌局”问题的极端重要性，切实担负起抓作风建设的主体责任，认真抓好《浙江省党政机关厉行节约反对浪费实施细则》、《浙江省党政机关国内公务接待管理办法》等规定的贯彻执行，从严要求，从严管理。要加强宣传教育，着力引导党员干部强化纪律意识、责任意识，切实打消少数人的侥幸之心、观望之念，把思想统一到中央和省委的要求上来。要结合实际，深入查找本地区本单位在解决“酒局”、“牌局”等“四风”问题上存在的突出问题，进一步严明纪律，以签订“承诺书”等形式，早打招呼，早提要求。各级党员领导干部要按照省委要求，对参加“酒局”、“牌局”问题进行深刻检查，并作为专题民主生活会批评和自我批评的重要内容。各级纪检监察组织在自觉带头落实的同时，要切实履行监督责任，强化监督执纪问责工作。要加强正风肃纪，采取随机抽查、专项检查、明察暗访等方式开展监督检查，重点检查党员干部组织和参与“酒局”、“牌局”以及有损党员干部形象的问题。对有违反上述规定和有损党员干部形象的行为，发现一起，查处一起，绝不姑息。对性质严重，造成恶劣影响的，还要追究相关领导责任。对典型案件，要点名道姓通报曝光，形成有力震慑。</w:t>
      </w:r>
    </w:p>
    <w:p>
      <w:pPr>
        <w:keepNext w:val="0"/>
        <w:keepLines w:val="0"/>
        <w:pageBreakBefore w:val="0"/>
        <w:widowControl/>
        <w:kinsoku/>
        <w:wordWrap/>
        <w:overflowPunct/>
        <w:topLinePunct w:val="0"/>
        <w:autoSpaceDE/>
        <w:autoSpaceDN/>
        <w:bidi w:val="0"/>
        <w:adjustRightInd/>
        <w:spacing w:beforeAutospacing="0" w:afterAutospacing="0" w:line="560" w:lineRule="exact"/>
        <w:ind w:right="0" w:rightChars="0"/>
        <w:jc w:val="left"/>
        <w:textAlignment w:val="auto"/>
        <w:rPr>
          <w:rFonts w:hint="eastAsia" w:ascii="CESI仿宋-GB2312" w:hAnsi="CESI仿宋-GB2312" w:eastAsia="CESI仿宋-GB2312" w:cs="CESI仿宋-GB2312"/>
          <w:color w:val="000000"/>
          <w:kern w:val="0"/>
          <w:sz w:val="32"/>
          <w:szCs w:val="32"/>
        </w:rPr>
      </w:pPr>
    </w:p>
    <w:p>
      <w:pPr>
        <w:keepNext w:val="0"/>
        <w:keepLines w:val="0"/>
        <w:pageBreakBefore w:val="0"/>
        <w:widowControl/>
        <w:kinsoku/>
        <w:wordWrap/>
        <w:overflowPunct/>
        <w:topLinePunct w:val="0"/>
        <w:autoSpaceDE/>
        <w:autoSpaceDN/>
        <w:bidi w:val="0"/>
        <w:adjustRightInd/>
        <w:spacing w:beforeAutospacing="0" w:afterAutospacing="0" w:line="560" w:lineRule="exact"/>
        <w:ind w:right="0" w:rightChars="0"/>
        <w:jc w:val="left"/>
        <w:textAlignment w:val="auto"/>
        <w:rPr>
          <w:rFonts w:hint="eastAsia" w:ascii="CESI仿宋-GB2312" w:hAnsi="CESI仿宋-GB2312" w:eastAsia="CESI仿宋-GB2312" w:cs="CESI仿宋-GB2312"/>
          <w:color w:val="000000"/>
          <w:kern w:val="0"/>
          <w:sz w:val="32"/>
          <w:szCs w:val="32"/>
        </w:rPr>
      </w:pPr>
      <w:r>
        <w:rPr>
          <w:rFonts w:hint="eastAsia" w:ascii="CESI仿宋-GB2312" w:hAnsi="CESI仿宋-GB2312" w:eastAsia="CESI仿宋-GB2312" w:cs="CESI仿宋-GB2312"/>
          <w:color w:val="000000"/>
          <w:kern w:val="0"/>
          <w:sz w:val="32"/>
          <w:szCs w:val="32"/>
        </w:rPr>
        <w:t xml:space="preserve">                                </w:t>
      </w:r>
      <w:r>
        <w:rPr>
          <w:rFonts w:hint="eastAsia" w:ascii="CESI仿宋-GB2312" w:hAnsi="CESI仿宋-GB2312" w:eastAsia="CESI仿宋-GB2312" w:cs="CESI仿宋-GB2312"/>
          <w:color w:val="000000"/>
          <w:kern w:val="0"/>
          <w:sz w:val="32"/>
          <w:szCs w:val="32"/>
          <w:lang w:val="en-US" w:eastAsia="zh-CN"/>
        </w:rPr>
        <w:t xml:space="preserve">    </w:t>
      </w:r>
      <w:r>
        <w:rPr>
          <w:rFonts w:hint="eastAsia" w:ascii="CESI仿宋-GB2312" w:hAnsi="CESI仿宋-GB2312" w:eastAsia="CESI仿宋-GB2312" w:cs="CESI仿宋-GB2312"/>
          <w:color w:val="000000"/>
          <w:kern w:val="0"/>
          <w:sz w:val="32"/>
          <w:szCs w:val="32"/>
        </w:rPr>
        <w:t>中共浙江省纪委</w:t>
      </w:r>
    </w:p>
    <w:p>
      <w:pPr>
        <w:keepNext w:val="0"/>
        <w:keepLines w:val="0"/>
        <w:pageBreakBefore w:val="0"/>
        <w:widowControl/>
        <w:kinsoku/>
        <w:wordWrap/>
        <w:overflowPunct/>
        <w:topLinePunct w:val="0"/>
        <w:autoSpaceDE/>
        <w:autoSpaceDN/>
        <w:bidi w:val="0"/>
        <w:adjustRightInd/>
        <w:spacing w:beforeAutospacing="0" w:afterAutospacing="0" w:line="560" w:lineRule="exact"/>
        <w:ind w:right="0" w:rightChars="0" w:firstLine="5667" w:firstLineChars="1771"/>
        <w:jc w:val="left"/>
        <w:textAlignment w:val="auto"/>
        <w:rPr>
          <w:rFonts w:hint="eastAsia" w:ascii="CESI仿宋-GB2312" w:hAnsi="CESI仿宋-GB2312" w:eastAsia="CESI仿宋-GB2312" w:cs="CESI仿宋-GB2312"/>
          <w:color w:val="000000"/>
          <w:kern w:val="0"/>
          <w:sz w:val="32"/>
          <w:szCs w:val="32"/>
        </w:rPr>
      </w:pPr>
      <w:r>
        <w:rPr>
          <w:rFonts w:hint="eastAsia" w:ascii="CESI仿宋-GB2312" w:hAnsi="CESI仿宋-GB2312" w:eastAsia="CESI仿宋-GB2312" w:cs="CESI仿宋-GB2312"/>
          <w:color w:val="000000"/>
          <w:kern w:val="0"/>
          <w:sz w:val="32"/>
          <w:szCs w:val="32"/>
        </w:rPr>
        <w:t xml:space="preserve"> 2014年6月12日</w:t>
      </w:r>
    </w:p>
    <w:tbl>
      <w:tblPr>
        <w:tblStyle w:val="2"/>
        <w:tblpPr w:leftFromText="181" w:rightFromText="181" w:tblpYSpec="bottom"/>
        <w:tblOverlap w:val="never"/>
        <w:tblW w:w="88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2"/>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889" w:type="dxa"/>
            <w:gridSpan w:val="2"/>
            <w:tcBorders>
              <w:top w:val="single" w:color="000000" w:sz="8" w:space="0"/>
              <w:left w:val="nil"/>
              <w:right w:val="nil"/>
            </w:tcBorders>
            <w:noWrap w:val="0"/>
            <w:vAlign w:val="center"/>
          </w:tcPr>
          <w:p>
            <w:pPr>
              <w:pStyle w:val="4"/>
              <w:keepNext w:val="0"/>
              <w:keepLines w:val="0"/>
              <w:pageBreakBefore w:val="0"/>
              <w:framePr w:wrap="auto" w:vAnchor="margin" w:hAnchor="text" w:yAlign="inline"/>
              <w:kinsoku/>
              <w:wordWrap/>
              <w:overflowPunct/>
              <w:topLinePunct w:val="0"/>
              <w:autoSpaceDE/>
              <w:autoSpaceDN/>
              <w:bidi w:val="0"/>
              <w:adjustRightInd/>
              <w:spacing w:beforeAutospacing="0" w:afterAutospacing="0" w:line="560" w:lineRule="exact"/>
              <w:ind w:right="0" w:rightChars="0" w:firstLine="320" w:firstLineChars="1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抄送：省委、省政府。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32" w:type="dxa"/>
            <w:tcBorders>
              <w:top w:val="single" w:color="000000" w:sz="4" w:space="0"/>
              <w:left w:val="nil"/>
              <w:bottom w:val="single" w:color="000000" w:sz="4" w:space="0"/>
              <w:right w:val="single" w:color="FFFFFF" w:sz="4" w:space="0"/>
            </w:tcBorders>
            <w:noWrap w:val="0"/>
            <w:vAlign w:val="center"/>
          </w:tcPr>
          <w:p>
            <w:pPr>
              <w:keepNext w:val="0"/>
              <w:keepLines w:val="0"/>
              <w:pageBreakBefore w:val="0"/>
              <w:tabs>
                <w:tab w:val="left" w:pos="5598"/>
              </w:tabs>
              <w:kinsoku/>
              <w:wordWrap/>
              <w:overflowPunct/>
              <w:topLinePunct w:val="0"/>
              <w:autoSpaceDE/>
              <w:autoSpaceDN/>
              <w:bidi w:val="0"/>
              <w:adjustRightInd/>
              <w:spacing w:beforeAutospacing="0" w:afterAutospacing="0" w:line="560" w:lineRule="exact"/>
              <w:ind w:right="0" w:rightChars="0" w:firstLine="320" w:firstLineChars="1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中共浙江省纪委办公厅</w:t>
            </w:r>
          </w:p>
        </w:tc>
        <w:tc>
          <w:tcPr>
            <w:tcW w:w="3457" w:type="dxa"/>
            <w:tcBorders>
              <w:top w:val="single" w:color="000000" w:sz="4" w:space="0"/>
              <w:left w:val="single" w:color="FFFFFF" w:sz="4" w:space="0"/>
              <w:bottom w:val="single" w:color="000000" w:sz="4" w:space="0"/>
              <w:right w:val="nil"/>
            </w:tcBorders>
            <w:noWrap w:val="0"/>
            <w:vAlign w:val="center"/>
          </w:tcPr>
          <w:p>
            <w:pPr>
              <w:keepNext w:val="0"/>
              <w:keepLines w:val="0"/>
              <w:pageBreakBefore w:val="0"/>
              <w:tabs>
                <w:tab w:val="left" w:pos="5598"/>
              </w:tabs>
              <w:kinsoku/>
              <w:wordWrap/>
              <w:overflowPunct/>
              <w:topLinePunct w:val="0"/>
              <w:autoSpaceDE/>
              <w:autoSpaceDN/>
              <w:bidi w:val="0"/>
              <w:adjustRightInd/>
              <w:spacing w:beforeAutospacing="0" w:afterAutospacing="0" w:line="560" w:lineRule="exact"/>
              <w:ind w:right="0" w:rightChars="0"/>
              <w:jc w:val="righ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2014年</w:t>
            </w:r>
            <w:r>
              <w:rPr>
                <w:rFonts w:hint="eastAsia" w:ascii="CESI仿宋-GB2312" w:hAnsi="CESI仿宋-GB2312" w:eastAsia="CESI仿宋-GB2312" w:cs="CESI仿宋-GB2312"/>
                <w:color w:val="000000"/>
                <w:kern w:val="0"/>
                <w:sz w:val="32"/>
                <w:szCs w:val="32"/>
              </w:rPr>
              <w:t>6</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color w:val="000000"/>
                <w:kern w:val="0"/>
                <w:sz w:val="32"/>
                <w:szCs w:val="32"/>
              </w:rPr>
              <w:t>12</w:t>
            </w:r>
            <w:r>
              <w:rPr>
                <w:rFonts w:hint="eastAsia" w:ascii="CESI仿宋-GB2312" w:hAnsi="CESI仿宋-GB2312" w:eastAsia="CESI仿宋-GB2312" w:cs="CESI仿宋-GB2312"/>
                <w:sz w:val="32"/>
                <w:szCs w:val="32"/>
              </w:rPr>
              <w:t>日印发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32" w:type="dxa"/>
            <w:tcBorders>
              <w:top w:val="single" w:color="000000" w:sz="4" w:space="0"/>
              <w:left w:val="nil"/>
              <w:bottom w:val="single" w:color="000000" w:sz="4" w:space="0"/>
              <w:right w:val="single" w:color="FFFFFF" w:sz="4" w:space="0"/>
            </w:tcBorders>
            <w:noWrap w:val="0"/>
            <w:vAlign w:val="center"/>
          </w:tcPr>
          <w:p>
            <w:pPr>
              <w:keepNext w:val="0"/>
              <w:keepLines w:val="0"/>
              <w:pageBreakBefore w:val="0"/>
              <w:tabs>
                <w:tab w:val="left" w:pos="5598"/>
              </w:tabs>
              <w:kinsoku/>
              <w:wordWrap/>
              <w:overflowPunct/>
              <w:topLinePunct w:val="0"/>
              <w:autoSpaceDE/>
              <w:autoSpaceDN/>
              <w:bidi w:val="0"/>
              <w:adjustRightInd/>
              <w:spacing w:beforeAutospacing="0" w:afterAutospacing="0" w:line="560" w:lineRule="exact"/>
              <w:ind w:right="0" w:rightChars="0" w:firstLine="320" w:firstLineChars="100"/>
              <w:textAlignment w:val="auto"/>
              <w:rPr>
                <w:rFonts w:hint="eastAsia" w:ascii="CESI仿宋-GB2312" w:hAnsi="CESI仿宋-GB2312" w:eastAsia="CESI仿宋-GB2312" w:cs="CESI仿宋-GB2312"/>
                <w:sz w:val="32"/>
                <w:szCs w:val="32"/>
              </w:rPr>
            </w:pPr>
          </w:p>
        </w:tc>
        <w:tc>
          <w:tcPr>
            <w:tcW w:w="3457" w:type="dxa"/>
            <w:tcBorders>
              <w:top w:val="single" w:color="000000" w:sz="4" w:space="0"/>
              <w:left w:val="single" w:color="FFFFFF" w:sz="4" w:space="0"/>
              <w:bottom w:val="single" w:color="000000" w:sz="4" w:space="0"/>
              <w:right w:val="nil"/>
            </w:tcBorders>
            <w:noWrap w:val="0"/>
            <w:vAlign w:val="center"/>
          </w:tcPr>
          <w:p>
            <w:pPr>
              <w:keepNext w:val="0"/>
              <w:keepLines w:val="0"/>
              <w:pageBreakBefore w:val="0"/>
              <w:tabs>
                <w:tab w:val="left" w:pos="5598"/>
              </w:tabs>
              <w:kinsoku/>
              <w:wordWrap/>
              <w:overflowPunct/>
              <w:topLinePunct w:val="0"/>
              <w:autoSpaceDE/>
              <w:autoSpaceDN/>
              <w:bidi w:val="0"/>
              <w:adjustRightInd/>
              <w:spacing w:beforeAutospacing="0" w:afterAutospacing="0" w:line="560" w:lineRule="exact"/>
              <w:ind w:right="0" w:rightChars="0"/>
              <w:jc w:val="right"/>
              <w:textAlignment w:val="auto"/>
              <w:rPr>
                <w:rFonts w:hint="eastAsia" w:ascii="CESI仿宋-GB2312" w:hAnsi="CESI仿宋-GB2312" w:eastAsia="CESI仿宋-GB2312" w:cs="CESI仿宋-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32" w:type="dxa"/>
            <w:tcBorders>
              <w:top w:val="single" w:color="000000" w:sz="4" w:space="0"/>
              <w:left w:val="nil"/>
              <w:bottom w:val="single" w:color="000000" w:sz="8" w:space="0"/>
              <w:right w:val="single" w:color="FFFFFF" w:sz="4" w:space="0"/>
            </w:tcBorders>
            <w:noWrap w:val="0"/>
            <w:vAlign w:val="center"/>
          </w:tcPr>
          <w:p>
            <w:pPr>
              <w:keepNext w:val="0"/>
              <w:keepLines w:val="0"/>
              <w:pageBreakBefore w:val="0"/>
              <w:tabs>
                <w:tab w:val="left" w:pos="5598"/>
              </w:tabs>
              <w:kinsoku/>
              <w:wordWrap/>
              <w:overflowPunct/>
              <w:topLinePunct w:val="0"/>
              <w:autoSpaceDE/>
              <w:autoSpaceDN/>
              <w:bidi w:val="0"/>
              <w:adjustRightInd/>
              <w:spacing w:beforeAutospacing="0" w:afterAutospacing="0" w:line="560" w:lineRule="exact"/>
              <w:ind w:right="0" w:rightChars="0" w:firstLine="320" w:firstLineChars="100"/>
              <w:textAlignment w:val="auto"/>
              <w:rPr>
                <w:rFonts w:hint="eastAsia" w:ascii="CESI仿宋-GB2312" w:hAnsi="CESI仿宋-GB2312" w:eastAsia="CESI仿宋-GB2312" w:cs="CESI仿宋-GB2312"/>
                <w:sz w:val="32"/>
                <w:szCs w:val="32"/>
              </w:rPr>
            </w:pPr>
          </w:p>
        </w:tc>
        <w:tc>
          <w:tcPr>
            <w:tcW w:w="3457" w:type="dxa"/>
            <w:tcBorders>
              <w:top w:val="single" w:color="000000" w:sz="4" w:space="0"/>
              <w:left w:val="single" w:color="FFFFFF" w:sz="4" w:space="0"/>
              <w:bottom w:val="single" w:color="000000" w:sz="8" w:space="0"/>
              <w:right w:val="nil"/>
            </w:tcBorders>
            <w:noWrap w:val="0"/>
            <w:vAlign w:val="center"/>
          </w:tcPr>
          <w:p>
            <w:pPr>
              <w:keepNext w:val="0"/>
              <w:keepLines w:val="0"/>
              <w:pageBreakBefore w:val="0"/>
              <w:tabs>
                <w:tab w:val="left" w:pos="5598"/>
              </w:tabs>
              <w:kinsoku/>
              <w:wordWrap/>
              <w:overflowPunct/>
              <w:topLinePunct w:val="0"/>
              <w:autoSpaceDE/>
              <w:autoSpaceDN/>
              <w:bidi w:val="0"/>
              <w:adjustRightInd/>
              <w:spacing w:beforeAutospacing="0" w:afterAutospacing="0" w:line="560" w:lineRule="exact"/>
              <w:ind w:right="0" w:rightChars="0"/>
              <w:jc w:val="right"/>
              <w:textAlignment w:val="auto"/>
              <w:rPr>
                <w:rFonts w:hint="eastAsia" w:ascii="CESI仿宋-GB2312" w:hAnsi="CESI仿宋-GB2312" w:eastAsia="CESI仿宋-GB2312" w:cs="CESI仿宋-GB2312"/>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00"/>
    <w:family w:val="modern"/>
    <w:pitch w:val="default"/>
    <w:sig w:usb0="00000000" w:usb1="00000000" w:usb2="00000010" w:usb3="00000000" w:csb0="00040000" w:csb1="00000000"/>
  </w:font>
  <w:font w:name="公文小标宋简">
    <w:altName w:val="宋体"/>
    <w:panose1 w:val="00000000000000000000"/>
    <w:charset w:val="00"/>
    <w:family w:val="modern"/>
    <w:pitch w:val="default"/>
    <w:sig w:usb0="00000000" w:usb1="00000000" w:usb2="0000001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37DB4"/>
    <w:rsid w:val="2F237DB4"/>
    <w:rsid w:val="6D00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抄 送"/>
    <w:basedOn w:val="5"/>
    <w:qFormat/>
    <w:uiPriority w:val="0"/>
    <w:pPr>
      <w:ind w:left="0" w:firstLine="0"/>
    </w:pPr>
    <w:rPr>
      <w:rFonts w:eastAsia="仿宋_GB2312"/>
    </w:rPr>
  </w:style>
  <w:style w:type="paragraph" w:customStyle="1" w:styleId="5">
    <w:name w:val="主题词"/>
    <w:basedOn w:val="1"/>
    <w:qFormat/>
    <w:uiPriority w:val="0"/>
    <w:pPr>
      <w:framePr w:wrap="notBeside" w:vAnchor="margin" w:hAnchor="margin" w:yAlign="bottom"/>
      <w:ind w:left="1246" w:hanging="1246"/>
    </w:pPr>
    <w:rPr>
      <w:rFonts w:eastAsia="公文小标宋简"/>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2021-12-31T06:53:00Z</dcterms:created>
  <dc:creator>无敌糖豆豆</dc:creator>
  <cp:lastModifiedBy>无敌糖豆豆</cp:lastModifiedBy>
  <dcterms:modified xsi:type="dcterms:W3CDTF">2021-12-31T06:53:47Z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A9E680EF75FC472C8629B4577D7E8A3F</vt:lpwstr>
  </property>
</Properties>
</file>